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образовательное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д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села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Лопатино</w:t>
      </w:r>
      <w:proofErr w:type="spellEnd"/>
      <w:r w:rsidRPr="00355EC6">
        <w:rPr>
          <w:lang w:val="ru-RU"/>
        </w:rPr>
        <w:br/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опатино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26403E" w:rsidRPr="00355EC6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опатино</w:t>
            </w:r>
            <w:proofErr w:type="spellEnd"/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 w:rsidP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55EC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опатино</w:t>
            </w:r>
            <w:proofErr w:type="spellEnd"/>
            <w:r w:rsidRPr="00355EC6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Лазейкина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355EC6">
              <w:rPr>
                <w:lang w:val="ru-RU"/>
              </w:rPr>
              <w:br/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26403E" w:rsidRPr="00355EC6" w:rsidRDefault="002640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403E" w:rsidRPr="00355EC6" w:rsidRDefault="00355EC6" w:rsidP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55EC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образовательного учреждения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детского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села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Лопатино</w:t>
      </w:r>
      <w:proofErr w:type="spellEnd"/>
      <w:r w:rsidRPr="00355EC6">
        <w:rPr>
          <w:lang w:val="ru-RU"/>
        </w:rPr>
        <w:br/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1093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C50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26403E" w:rsidRPr="00355EC6" w:rsidRDefault="002640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403E" w:rsidRDefault="00355E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B4F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детский сад комбинированного вида № 2 села </w:t>
      </w:r>
      <w:proofErr w:type="spellStart"/>
      <w:r w:rsidRPr="00355EC6">
        <w:rPr>
          <w:rFonts w:ascii="Times New Roman" w:hAnsi="Times New Roman"/>
          <w:b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является звеном муниципальной системы образования Лопатинского района Пензенской области, обеспечивающим  помощь семье в воспитании детей дошкольного возраста, охране и укреплении их физического и психического здоровья.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Государственный статус учреждения: 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детский сад комбинированного вида № 2 села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>Полное наименование в соответствии с</w:t>
      </w:r>
      <w:r w:rsidRPr="00CC6187">
        <w:rPr>
          <w:rFonts w:ascii="Times New Roman" w:hAnsi="Times New Roman"/>
          <w:b/>
          <w:i/>
          <w:iCs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Уставом</w:t>
      </w: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:</w:t>
      </w:r>
      <w:r w:rsidRPr="00B52B90">
        <w:rPr>
          <w:rFonts w:ascii="Times New Roman" w:hAnsi="Times New Roman"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Муниципальное бюджетное дошкольное образовательное учреждение </w:t>
      </w: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детский сад комбинированного вида № 2 села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>Сокращенное наименование в соответствии с</w:t>
      </w:r>
      <w:r w:rsidRPr="00CC6187">
        <w:rPr>
          <w:rFonts w:ascii="Times New Roman" w:hAnsi="Times New Roman"/>
          <w:b/>
          <w:i/>
          <w:iCs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>Уставом</w:t>
      </w: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МБДОУ детский сад № 2 </w:t>
      </w:r>
      <w:proofErr w:type="spellStart"/>
      <w:r w:rsidRPr="00355EC6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Start"/>
      <w:r w:rsidRPr="00355EC6">
        <w:rPr>
          <w:rFonts w:ascii="Times New Roman" w:hAnsi="Times New Roman"/>
          <w:sz w:val="24"/>
          <w:szCs w:val="24"/>
          <w:lang w:val="ru-RU" w:eastAsia="ru-RU"/>
        </w:rPr>
        <w:t>.Л</w:t>
      </w:r>
      <w:proofErr w:type="gramEnd"/>
      <w:r w:rsidRPr="00355EC6">
        <w:rPr>
          <w:rFonts w:ascii="Times New Roman" w:hAnsi="Times New Roman"/>
          <w:sz w:val="24"/>
          <w:szCs w:val="24"/>
          <w:lang w:val="ru-RU" w:eastAsia="ru-RU"/>
        </w:rPr>
        <w:t>опатино</w:t>
      </w:r>
      <w:proofErr w:type="spellEnd"/>
      <w:r w:rsidRPr="00355EC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Год основания: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1975.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детский сад комбинированного вида № 2 села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имеет в своей структуре филиал и структурное подразделение</w:t>
      </w:r>
      <w:proofErr w:type="gram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:</w:t>
      </w:r>
      <w:proofErr w:type="gramEnd"/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-  Полное наименование</w:t>
      </w:r>
      <w:proofErr w:type="gram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:</w:t>
      </w:r>
      <w:proofErr w:type="gram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Филиал 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бюджетного дошкольного образовательного учреждения </w:t>
      </w: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детского сада комбинированного вида № 2 села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селе Даниловка;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Сокращенное наименование: Филиал МБДОУ детский сад № 2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с</w:t>
      </w:r>
      <w:proofErr w:type="gram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.Л</w:t>
      </w:r>
      <w:proofErr w:type="gram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с.Даниловка;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- Полное наименование:  Структурное подразделение детский сад «Солнышко» 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бюджетного дошкольного образовательного учреждения </w:t>
      </w: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детского сада комбинированного вида № 2 села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; 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 xml:space="preserve">Сокращенное наименование: Структурное подразделение детский сад «Солнышко» МБДОУ детский сад № 2 </w:t>
      </w:r>
      <w:proofErr w:type="spell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с</w:t>
      </w:r>
      <w:proofErr w:type="gramStart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.Л</w:t>
      </w:r>
      <w:proofErr w:type="gramEnd"/>
      <w:r w:rsidRPr="00355EC6">
        <w:rPr>
          <w:rFonts w:ascii="Times New Roman" w:hAnsi="Times New Roman"/>
          <w:bCs/>
          <w:sz w:val="24"/>
          <w:szCs w:val="24"/>
          <w:lang w:val="ru-RU" w:eastAsia="ru-RU"/>
        </w:rPr>
        <w:t>опатино</w:t>
      </w:r>
      <w:proofErr w:type="spellEnd"/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Лицензия на образовательную деятельность </w:t>
      </w:r>
      <w:proofErr w:type="gramStart"/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-</w:t>
      </w:r>
      <w:r w:rsidR="00632660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="00632660">
        <w:rPr>
          <w:rFonts w:ascii="Times New Roman" w:hAnsi="Times New Roman"/>
          <w:sz w:val="24"/>
          <w:szCs w:val="24"/>
          <w:lang w:val="ru-RU" w:eastAsia="ru-RU"/>
        </w:rPr>
        <w:t>ерия 58</w:t>
      </w:r>
      <w:r w:rsidRPr="00B52B90">
        <w:rPr>
          <w:rFonts w:ascii="Times New Roman" w:hAnsi="Times New Roman"/>
          <w:sz w:val="24"/>
          <w:szCs w:val="24"/>
          <w:lang w:eastAsia="ru-RU"/>
        </w:rPr>
        <w:t>  </w:t>
      </w:r>
      <w:r w:rsidR="00632660">
        <w:rPr>
          <w:rFonts w:ascii="Times New Roman" w:hAnsi="Times New Roman"/>
          <w:sz w:val="24"/>
          <w:szCs w:val="24"/>
          <w:lang w:val="ru-RU" w:eastAsia="ru-RU"/>
        </w:rPr>
        <w:t>Л 01 № 0000982 регистрационный номер № 12162 от 23.12.2016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Юридический адрес, фактический адрес: 442550, Пензен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ская область, с. </w:t>
      </w:r>
      <w:proofErr w:type="spellStart"/>
      <w:r w:rsidRPr="00355EC6">
        <w:rPr>
          <w:rFonts w:ascii="Times New Roman" w:hAnsi="Times New Roman"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sz w:val="24"/>
          <w:szCs w:val="24"/>
          <w:lang w:val="ru-RU" w:eastAsia="ru-RU"/>
        </w:rPr>
        <w:t>,    ул. Пионерская, д. 19.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Юридический адрес, фактический адрес филиала: 442552 , Пензен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ская область, Лопатинский район, с</w:t>
      </w:r>
      <w:proofErr w:type="gramStart"/>
      <w:r w:rsidRPr="00355EC6">
        <w:rPr>
          <w:rFonts w:ascii="Times New Roman" w:hAnsi="Times New Roman"/>
          <w:sz w:val="24"/>
          <w:szCs w:val="24"/>
          <w:lang w:val="ru-RU" w:eastAsia="ru-RU"/>
        </w:rPr>
        <w:t>.Д</w:t>
      </w:r>
      <w:proofErr w:type="gramEnd"/>
      <w:r w:rsidRPr="00355EC6">
        <w:rPr>
          <w:rFonts w:ascii="Times New Roman" w:hAnsi="Times New Roman"/>
          <w:sz w:val="24"/>
          <w:szCs w:val="24"/>
          <w:lang w:val="ru-RU" w:eastAsia="ru-RU"/>
        </w:rPr>
        <w:t>аниловка, ул.Школьная, д.6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Юридический адрес, фактический адрес структурного подразделения: Пензен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ская область, с. </w:t>
      </w:r>
      <w:proofErr w:type="spellStart"/>
      <w:r w:rsidRPr="00355EC6">
        <w:rPr>
          <w:rFonts w:ascii="Times New Roman" w:hAnsi="Times New Roman"/>
          <w:sz w:val="24"/>
          <w:szCs w:val="24"/>
          <w:lang w:val="ru-RU" w:eastAsia="ru-RU"/>
        </w:rPr>
        <w:t>Лопатино</w:t>
      </w:r>
      <w:proofErr w:type="spellEnd"/>
      <w:r w:rsidRPr="00355EC6">
        <w:rPr>
          <w:rFonts w:ascii="Times New Roman" w:hAnsi="Times New Roman"/>
          <w:sz w:val="24"/>
          <w:szCs w:val="24"/>
          <w:lang w:val="ru-RU" w:eastAsia="ru-RU"/>
        </w:rPr>
        <w:t>, ул</w:t>
      </w:r>
      <w:proofErr w:type="gramStart"/>
      <w:r w:rsidRPr="00355EC6">
        <w:rPr>
          <w:rFonts w:ascii="Times New Roman" w:hAnsi="Times New Roman"/>
          <w:sz w:val="24"/>
          <w:szCs w:val="24"/>
          <w:lang w:val="ru-RU" w:eastAsia="ru-RU"/>
        </w:rPr>
        <w:t>.Ю</w:t>
      </w:r>
      <w:proofErr w:type="gramEnd"/>
      <w:r w:rsidRPr="00355EC6">
        <w:rPr>
          <w:rFonts w:ascii="Times New Roman" w:hAnsi="Times New Roman"/>
          <w:sz w:val="24"/>
          <w:szCs w:val="24"/>
          <w:lang w:val="ru-RU" w:eastAsia="ru-RU"/>
        </w:rPr>
        <w:t>билейная, д.7 А</w:t>
      </w:r>
    </w:p>
    <w:p w:rsidR="00355EC6" w:rsidRPr="00355EC6" w:rsidRDefault="00355EC6" w:rsidP="00355EC6">
      <w:pPr>
        <w:tabs>
          <w:tab w:val="left" w:pos="5961"/>
        </w:tabs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Телефон: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8-84148-2-15-08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55EC6" w:rsidRPr="007B4F3A" w:rsidRDefault="00355EC6" w:rsidP="00355EC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sz w:val="24"/>
          <w:szCs w:val="24"/>
          <w:lang w:val="ru-RU" w:eastAsia="ru-RU"/>
        </w:rPr>
        <w:t>Информационный сайт ДОУ:</w:t>
      </w:r>
      <w:r w:rsidRPr="00B52B90">
        <w:rPr>
          <w:rFonts w:ascii="Times New Roman" w:hAnsi="Times New Roman"/>
          <w:sz w:val="24"/>
          <w:szCs w:val="24"/>
          <w:lang w:eastAsia="ru-RU"/>
        </w:rPr>
        <w:t> </w:t>
      </w:r>
      <w:hyperlink r:id="rId5" w:tgtFrame="_blank" w:history="1">
        <w:r w:rsidRPr="004E55E7">
          <w:rPr>
            <w:rStyle w:val="a3"/>
            <w:rFonts w:ascii="Times New Roman" w:hAnsi="Times New Roman"/>
            <w:color w:val="2067B0"/>
          </w:rPr>
          <w:t>http</w:t>
        </w:r>
        <w:r w:rsidRPr="00355EC6">
          <w:rPr>
            <w:rStyle w:val="a3"/>
            <w:rFonts w:ascii="Times New Roman" w:hAnsi="Times New Roman"/>
            <w:color w:val="2067B0"/>
            <w:lang w:val="ru-RU"/>
          </w:rPr>
          <w:t>://</w:t>
        </w:r>
        <w:proofErr w:type="spellStart"/>
        <w:r w:rsidRPr="004E55E7">
          <w:rPr>
            <w:rStyle w:val="a3"/>
            <w:rFonts w:ascii="Times New Roman" w:hAnsi="Times New Roman"/>
            <w:color w:val="2067B0"/>
          </w:rPr>
          <w:t>mdou</w:t>
        </w:r>
        <w:proofErr w:type="spellEnd"/>
        <w:r w:rsidRPr="00355EC6">
          <w:rPr>
            <w:rStyle w:val="a3"/>
            <w:rFonts w:ascii="Times New Roman" w:hAnsi="Times New Roman"/>
            <w:color w:val="2067B0"/>
            <w:lang w:val="ru-RU"/>
          </w:rPr>
          <w:t>2</w:t>
        </w:r>
        <w:r w:rsidRPr="004E55E7">
          <w:rPr>
            <w:rStyle w:val="a3"/>
            <w:rFonts w:ascii="Times New Roman" w:hAnsi="Times New Roman"/>
            <w:color w:val="2067B0"/>
          </w:rPr>
          <w:t>lop</w:t>
        </w:r>
        <w:r w:rsidRPr="00355EC6">
          <w:rPr>
            <w:rStyle w:val="a3"/>
            <w:rFonts w:ascii="Times New Roman" w:hAnsi="Times New Roman"/>
            <w:color w:val="2067B0"/>
            <w:lang w:val="ru-RU"/>
          </w:rPr>
          <w:t>58.</w:t>
        </w:r>
        <w:proofErr w:type="spellStart"/>
        <w:r w:rsidRPr="004E55E7">
          <w:rPr>
            <w:rStyle w:val="a3"/>
            <w:rFonts w:ascii="Times New Roman" w:hAnsi="Times New Roman"/>
            <w:color w:val="2067B0"/>
          </w:rPr>
          <w:t>edu</w:t>
        </w:r>
        <w:proofErr w:type="spellEnd"/>
        <w:r w:rsidRPr="00355EC6">
          <w:rPr>
            <w:rStyle w:val="a3"/>
            <w:rFonts w:ascii="Times New Roman" w:hAnsi="Times New Roman"/>
            <w:color w:val="2067B0"/>
            <w:lang w:val="ru-RU"/>
          </w:rPr>
          <w:t>-</w:t>
        </w:r>
        <w:proofErr w:type="spellStart"/>
        <w:r w:rsidRPr="004E55E7">
          <w:rPr>
            <w:rStyle w:val="a3"/>
            <w:rFonts w:ascii="Times New Roman" w:hAnsi="Times New Roman"/>
            <w:color w:val="2067B0"/>
          </w:rPr>
          <w:t>penza</w:t>
        </w:r>
        <w:proofErr w:type="spellEnd"/>
        <w:r w:rsidRPr="00355EC6">
          <w:rPr>
            <w:rStyle w:val="a3"/>
            <w:rFonts w:ascii="Times New Roman" w:hAnsi="Times New Roman"/>
            <w:color w:val="2067B0"/>
            <w:lang w:val="ru-RU"/>
          </w:rPr>
          <w:t>.</w:t>
        </w:r>
        <w:proofErr w:type="spellStart"/>
        <w:r w:rsidRPr="004E55E7">
          <w:rPr>
            <w:rStyle w:val="a3"/>
            <w:rFonts w:ascii="Times New Roman" w:hAnsi="Times New Roman"/>
            <w:color w:val="2067B0"/>
          </w:rPr>
          <w:t>ru</w:t>
        </w:r>
        <w:proofErr w:type="spellEnd"/>
      </w:hyperlink>
    </w:p>
    <w:p w:rsidR="00355EC6" w:rsidRPr="00355EC6" w:rsidRDefault="00355EC6" w:rsidP="00355EC6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sz w:val="24"/>
          <w:szCs w:val="24"/>
          <w:lang w:val="ru-RU" w:eastAsia="ru-RU"/>
        </w:rPr>
        <w:t>Адрес электронной почты:</w:t>
      </w:r>
      <w:r w:rsidRPr="00B52B90">
        <w:rPr>
          <w:rFonts w:ascii="Times New Roman" w:hAnsi="Times New Roman"/>
          <w:sz w:val="24"/>
          <w:szCs w:val="24"/>
          <w:lang w:eastAsia="ru-RU"/>
        </w:rPr>
        <w:t> </w:t>
      </w:r>
      <w:hyperlink r:id="rId6" w:history="1">
        <w:r w:rsidRPr="000027B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a.</w:t>
        </w:r>
        <w:r w:rsidRPr="000027B7">
          <w:rPr>
            <w:rStyle w:val="a3"/>
            <w:rFonts w:ascii="Times New Roman" w:hAnsi="Times New Roman"/>
            <w:sz w:val="24"/>
            <w:szCs w:val="24"/>
            <w:lang w:eastAsia="ru-RU"/>
          </w:rPr>
          <w:t>bantish</w:t>
        </w:r>
        <w:r w:rsidRPr="000027B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@</w:t>
        </w:r>
        <w:r w:rsidRPr="000027B7">
          <w:rPr>
            <w:rStyle w:val="a3"/>
            <w:rFonts w:ascii="Times New Roman" w:hAnsi="Times New Roman"/>
            <w:sz w:val="24"/>
            <w:szCs w:val="24"/>
            <w:lang w:eastAsia="ru-RU"/>
          </w:rPr>
          <w:t>yandex</w:t>
        </w:r>
        <w:r w:rsidRPr="000027B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Pr="000027B7">
          <w:rPr>
            <w:rStyle w:val="a3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i/>
          <w:iCs/>
          <w:sz w:val="24"/>
          <w:szCs w:val="24"/>
          <w:lang w:val="ru-RU" w:eastAsia="ru-RU"/>
        </w:rPr>
        <w:t>Режим функционирования ДОУ</w:t>
      </w:r>
      <w:r w:rsidRPr="00355EC6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 xml:space="preserve"> 9 часов, при 5- дневной рабочей неделе, с 08-00</w:t>
      </w:r>
      <w:r w:rsidRPr="00B52B90">
        <w:rPr>
          <w:rFonts w:ascii="Times New Roman" w:hAnsi="Times New Roman"/>
          <w:sz w:val="24"/>
          <w:szCs w:val="24"/>
          <w:lang w:eastAsia="ru-RU"/>
        </w:rPr>
        <w:t> </w:t>
      </w:r>
      <w:r w:rsidR="0083377C">
        <w:rPr>
          <w:rFonts w:ascii="Times New Roman" w:hAnsi="Times New Roman"/>
          <w:sz w:val="24"/>
          <w:szCs w:val="24"/>
          <w:lang w:val="ru-RU" w:eastAsia="ru-RU"/>
        </w:rPr>
        <w:t xml:space="preserve"> до 17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-00. Суббота-воскресенье: выходной.</w:t>
      </w:r>
    </w:p>
    <w:p w:rsidR="00355EC6" w:rsidRPr="00355EC6" w:rsidRDefault="00355EC6" w:rsidP="00355EC6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5EC6">
        <w:rPr>
          <w:rFonts w:ascii="Times New Roman" w:hAnsi="Times New Roman"/>
          <w:b/>
          <w:bCs/>
          <w:sz w:val="24"/>
          <w:szCs w:val="24"/>
          <w:lang w:val="ru-RU" w:eastAsia="ru-RU"/>
        </w:rPr>
        <w:t>Прием детей в ДОУ</w:t>
      </w:r>
      <w:r w:rsidRPr="00B52B90">
        <w:rPr>
          <w:rFonts w:ascii="Times New Roman" w:hAnsi="Times New Roman"/>
          <w:sz w:val="24"/>
          <w:szCs w:val="24"/>
          <w:lang w:eastAsia="ru-RU"/>
        </w:rPr>
        <w:t> </w:t>
      </w:r>
      <w:r w:rsidRPr="00355EC6">
        <w:rPr>
          <w:rFonts w:ascii="Times New Roman" w:hAnsi="Times New Roman"/>
          <w:sz w:val="24"/>
          <w:szCs w:val="24"/>
          <w:lang w:val="ru-RU" w:eastAsia="ru-RU"/>
        </w:rPr>
        <w:t>осуществляется в соответствии с Постановлением администрации Лопатинского района Пензенской области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 ».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355EC6">
        <w:rPr>
          <w:lang w:val="ru-RU"/>
        </w:rPr>
        <w:br/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>
        <w:rPr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эпидемиологические требования к организациям воспитания и обучения, отдыха и оздоровления детей и молодежи».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6403E" w:rsidRPr="0083377C" w:rsidRDefault="00355EC6">
      <w:pPr>
        <w:rPr>
          <w:rFonts w:hAnsi="Times New Roman" w:cs="Times New Roman"/>
          <w:sz w:val="24"/>
          <w:szCs w:val="24"/>
          <w:lang w:val="ru-RU"/>
        </w:rPr>
      </w:pPr>
      <w:r w:rsidRPr="0083377C">
        <w:rPr>
          <w:rFonts w:hAnsi="Times New Roman" w:cs="Times New Roman"/>
          <w:sz w:val="24"/>
          <w:szCs w:val="24"/>
          <w:lang w:val="ru-RU"/>
        </w:rPr>
        <w:t xml:space="preserve">Детский сад посещают </w:t>
      </w:r>
      <w:r w:rsidR="000802AB" w:rsidRPr="0083377C">
        <w:rPr>
          <w:rFonts w:hAnsi="Times New Roman" w:cs="Times New Roman"/>
          <w:sz w:val="24"/>
          <w:szCs w:val="24"/>
          <w:lang w:val="ru-RU"/>
        </w:rPr>
        <w:t>195</w:t>
      </w:r>
      <w:r w:rsidRPr="0083377C">
        <w:rPr>
          <w:rFonts w:hAnsi="Times New Roman" w:cs="Times New Roman"/>
          <w:sz w:val="24"/>
          <w:szCs w:val="24"/>
          <w:lang w:val="ru-RU"/>
        </w:rPr>
        <w:t xml:space="preserve"> воспитанников в возрасте от 1 до 7 лет. В Детском саду сформировано 9 групп </w:t>
      </w:r>
      <w:proofErr w:type="spellStart"/>
      <w:r w:rsidRPr="0083377C">
        <w:rPr>
          <w:rFonts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3377C">
        <w:rPr>
          <w:rFonts w:hAnsi="Times New Roman" w:cs="Times New Roman"/>
          <w:sz w:val="24"/>
          <w:szCs w:val="24"/>
          <w:lang w:val="ru-RU"/>
        </w:rPr>
        <w:t xml:space="preserve"> направленности,</w:t>
      </w:r>
      <w:r w:rsidR="0083377C" w:rsidRPr="0083377C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83377C">
        <w:rPr>
          <w:rFonts w:hAnsi="Times New Roman" w:cs="Times New Roman"/>
          <w:sz w:val="24"/>
          <w:szCs w:val="24"/>
          <w:lang w:val="ru-RU"/>
        </w:rPr>
        <w:t xml:space="preserve"> </w:t>
      </w:r>
      <w:r w:rsidR="0083377C" w:rsidRPr="0083377C">
        <w:rPr>
          <w:rFonts w:hAnsi="Times New Roman" w:cs="Times New Roman"/>
          <w:sz w:val="24"/>
          <w:szCs w:val="24"/>
          <w:lang w:val="ru-RU"/>
        </w:rPr>
        <w:t xml:space="preserve">группа </w:t>
      </w:r>
      <w:r w:rsidRPr="0083377C">
        <w:rPr>
          <w:rFonts w:hAnsi="Times New Roman" w:cs="Times New Roman"/>
          <w:sz w:val="24"/>
          <w:szCs w:val="24"/>
          <w:lang w:val="ru-RU"/>
        </w:rPr>
        <w:t xml:space="preserve"> комбинированной направленности, 1 группа компенсирующей направленности.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83377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26403E" w:rsidRDefault="00355E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26403E" w:rsidRPr="00835F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264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37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83 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4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83377C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37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4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0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26403E" w:rsidRDefault="0035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26403E" w:rsidRPr="00835F9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r w:rsidRPr="0083377C">
              <w:rPr>
                <w:rFonts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r w:rsidRPr="0083377C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pPr>
              <w:rPr>
                <w:lang w:val="ru-RU"/>
              </w:rPr>
            </w:pPr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83377C">
              <w:rPr>
                <w:rFonts w:hAnsi="Times New Roman" w:cs="Times New Roman"/>
                <w:sz w:val="24"/>
                <w:szCs w:val="24"/>
              </w:rPr>
              <w:t> </w:t>
            </w:r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26403E" w:rsidRPr="0061093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proofErr w:type="spellStart"/>
            <w:r w:rsidRPr="0083377C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83377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77C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83377C">
            <w:pPr>
              <w:rPr>
                <w:lang w:val="ru-RU"/>
              </w:rPr>
            </w:pPr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83377C"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38,9</w:t>
            </w:r>
            <w:r w:rsidR="00355EC6" w:rsidRPr="0083377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26403E" w:rsidRPr="0061093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r w:rsidRPr="0083377C">
              <w:rPr>
                <w:rFonts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83377C"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355EC6" w:rsidRPr="0083377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83377C"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 xml:space="preserve">53 </w:t>
            </w:r>
            <w:r w:rsidR="00355EC6" w:rsidRPr="0083377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26403E" w:rsidRPr="0061093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r w:rsidRPr="0083377C">
              <w:rPr>
                <w:rFonts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pPr>
              <w:rPr>
                <w:lang w:val="ru-RU"/>
              </w:rPr>
            </w:pPr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83377C" w:rsidRDefault="00355EC6">
            <w:r w:rsidRPr="0083377C">
              <w:rPr>
                <w:rFonts w:hAnsi="Times New Roman" w:cs="Times New Roman"/>
                <w:sz w:val="24"/>
                <w:szCs w:val="24"/>
                <w:lang w:val="ru-RU"/>
              </w:rPr>
              <w:t>7,1</w:t>
            </w:r>
            <w:r w:rsidRPr="0083377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Детский сад.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26403E" w:rsidTr="00355EC6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6403E" w:rsidRPr="00835F90" w:rsidTr="00355EC6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6403E" w:rsidTr="00355EC6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26403E" w:rsidRDefault="00355E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6403E" w:rsidRDefault="00355E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6403E" w:rsidRDefault="00355E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6403E" w:rsidRPr="0083377C" w:rsidRDefault="00355EC6" w:rsidP="008337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37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26403E" w:rsidRPr="00355EC6" w:rsidRDefault="00355E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26403E" w:rsidRPr="00355EC6" w:rsidRDefault="00355EC6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26403E" w:rsidRDefault="00355EC6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6403E" w:rsidRPr="00835F90" w:rsidTr="00355EC6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26403E" w:rsidRPr="00355EC6" w:rsidRDefault="00355E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6403E" w:rsidRPr="00355EC6" w:rsidRDefault="00355E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26403E" w:rsidRPr="00355EC6" w:rsidRDefault="00355EC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6403E" w:rsidRPr="00355EC6" w:rsidRDefault="00355EC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и развитию материальной базы</w:t>
            </w:r>
          </w:p>
        </w:tc>
      </w:tr>
    </w:tbl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7B4F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Детского сада. Дополнительно расширили обязанности старшего воспитателя по 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83377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26403E" w:rsidRDefault="00355EC6">
      <w:pPr>
        <w:rPr>
          <w:rFonts w:hAnsi="Times New Roman" w:cs="Times New Roman"/>
          <w:color w:val="000000"/>
          <w:sz w:val="24"/>
          <w:szCs w:val="24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403E" w:rsidRPr="00355EC6" w:rsidRDefault="0035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26403E" w:rsidRDefault="00355EC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</w:t>
      </w:r>
      <w:r w:rsidR="008337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3377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дошкольников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основной образовательной программы дошкольного образования Детского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63468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7"/>
        <w:gridCol w:w="733"/>
        <w:gridCol w:w="755"/>
        <w:gridCol w:w="759"/>
        <w:gridCol w:w="629"/>
        <w:gridCol w:w="797"/>
        <w:gridCol w:w="648"/>
        <w:gridCol w:w="945"/>
        <w:gridCol w:w="1694"/>
      </w:tblGrid>
      <w:tr w:rsidR="0026403E" w:rsidTr="00634687"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6403E" w:rsidTr="00634687"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% воспитанников в 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26403E" w:rsidTr="00634687"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7B4F3A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B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4687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7B4F3A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4687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7B4F3A" w:rsidRDefault="007B4F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46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4687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7B4F3A" w:rsidRDefault="006346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7B4F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4687" w:rsidRDefault="00355E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6346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</w:tr>
    </w:tbl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34687">
        <w:rPr>
          <w:rFonts w:hAnsi="Times New Roman" w:cs="Times New Roman"/>
          <w:color w:val="000000"/>
          <w:sz w:val="24"/>
          <w:szCs w:val="24"/>
          <w:lang w:val="ru-RU"/>
        </w:rPr>
        <w:t>апрел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3468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 w:rsidR="00634687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 позволили оценить уровень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26403E" w:rsidRPr="00355EC6" w:rsidRDefault="0035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6403E" w:rsidRPr="00355EC6" w:rsidRDefault="00355EC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26403E" w:rsidRDefault="00355EC6">
      <w:pPr>
        <w:rPr>
          <w:rFonts w:hAnsi="Times New Roman" w:cs="Times New Roman"/>
          <w:color w:val="000000"/>
          <w:sz w:val="24"/>
          <w:szCs w:val="24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26403E" w:rsidRPr="00355EC6" w:rsidRDefault="0035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26403E" w:rsidRPr="00355EC6" w:rsidRDefault="0035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26403E" w:rsidRPr="00355EC6" w:rsidRDefault="0035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26403E" w:rsidRPr="00355EC6" w:rsidRDefault="0035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26403E" w:rsidRPr="00355EC6" w:rsidRDefault="00355EC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</w:t>
      </w:r>
      <w:r w:rsidR="00634687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бактерицидные установки в групповых комнатах;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26403E" w:rsidRPr="00355EC6" w:rsidRDefault="0035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26403E" w:rsidRPr="00355EC6" w:rsidRDefault="00355EC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 на 100 процентов согласно штатному расписанию. Всего работают</w:t>
      </w:r>
      <w:r w:rsidR="001071B0">
        <w:rPr>
          <w:rFonts w:hAnsi="Times New Roman" w:cs="Times New Roman"/>
          <w:color w:val="000000"/>
          <w:sz w:val="24"/>
          <w:szCs w:val="24"/>
          <w:lang w:val="ru-RU"/>
        </w:rPr>
        <w:t xml:space="preserve"> 44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071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 Педагогический коллектив Детского сада насчитывает</w:t>
      </w:r>
      <w:r w:rsidR="001071B0">
        <w:rPr>
          <w:rFonts w:hAnsi="Times New Roman" w:cs="Times New Roman"/>
          <w:color w:val="000000"/>
          <w:sz w:val="24"/>
          <w:szCs w:val="24"/>
          <w:lang w:val="ru-RU"/>
        </w:rPr>
        <w:t xml:space="preserve"> 21 специалист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 Соотношение воспитанников, приходящихся на 1 взрослого:</w:t>
      </w:r>
    </w:p>
    <w:p w:rsidR="0026403E" w:rsidRDefault="0035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071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26403E" w:rsidRDefault="00355EC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071B0">
        <w:rPr>
          <w:rFonts w:hAnsi="Times New Roman" w:cs="Times New Roman"/>
          <w:color w:val="000000"/>
          <w:sz w:val="24"/>
          <w:szCs w:val="24"/>
        </w:rPr>
        <w:t xml:space="preserve"> 4,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26403E" w:rsidRPr="00C504FA" w:rsidRDefault="00355EC6" w:rsidP="00C15B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 получили:</w:t>
      </w:r>
    </w:p>
    <w:p w:rsidR="0026403E" w:rsidRPr="00C15B3E" w:rsidRDefault="00355EC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первую квалификационную категорию – 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5B3E" w:rsidRPr="00C15B3E">
        <w:rPr>
          <w:rFonts w:hAnsi="Times New Roman" w:cs="Times New Roman"/>
          <w:color w:val="000000"/>
          <w:sz w:val="24"/>
          <w:szCs w:val="24"/>
          <w:lang w:val="ru-RU"/>
        </w:rPr>
        <w:t>воспитате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ля, 1 музыкальный работник, 1- инструктор по физической культуре</w:t>
      </w:r>
      <w:r w:rsidRPr="00C15B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15B3E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proofErr w:type="gramStart"/>
      <w:r w:rsidR="001071B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403E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перешел на применение профессиональных стандартов. Из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</w:t>
      </w:r>
      <w:r w:rsidR="001071B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все соответствуют квалификационным требованиям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C504FA" w:rsidRDefault="00C504FA" w:rsidP="00C504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Стаж педагогических работников</w:t>
      </w:r>
    </w:p>
    <w:tbl>
      <w:tblPr>
        <w:tblStyle w:val="a6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C504FA" w:rsidTr="00C504FA">
        <w:tc>
          <w:tcPr>
            <w:tcW w:w="1848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1849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10 до 15 лет</w:t>
            </w:r>
          </w:p>
        </w:tc>
        <w:tc>
          <w:tcPr>
            <w:tcW w:w="1849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15 до 20 лет </w:t>
            </w:r>
          </w:p>
        </w:tc>
        <w:tc>
          <w:tcPr>
            <w:tcW w:w="1849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20 лет</w:t>
            </w:r>
          </w:p>
        </w:tc>
      </w:tr>
      <w:tr w:rsidR="00C504FA" w:rsidTr="00C504FA">
        <w:tc>
          <w:tcPr>
            <w:tcW w:w="1848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</w:tcPr>
          <w:p w:rsidR="00C504FA" w:rsidRDefault="00C504FA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9" w:type="dxa"/>
          </w:tcPr>
          <w:p w:rsidR="00C504FA" w:rsidRDefault="001832FF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9" w:type="dxa"/>
          </w:tcPr>
          <w:p w:rsidR="00C504FA" w:rsidRDefault="001832FF" w:rsidP="00C50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355EC6">
        <w:rPr>
          <w:lang w:val="ru-RU"/>
        </w:rPr>
        <w:br/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26403E" w:rsidRPr="00C15B3E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C15B3E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26403E" w:rsidRPr="00355EC6" w:rsidRDefault="00355E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серии «Рассказы по картинкам», «Расскажите детям о…», «Играем в сказку», «Грамматика в картинках», «Искусство детям»;</w:t>
      </w:r>
    </w:p>
    <w:p w:rsidR="0026403E" w:rsidRDefault="00355EC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403E" w:rsidRPr="00355EC6" w:rsidRDefault="0026403E" w:rsidP="001832F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1832FF" w:rsidRDefault="00355EC6" w:rsidP="001832F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информационно-телекоммуникационное оборудование –   </w:t>
      </w:r>
      <w:r w:rsidR="001832FF" w:rsidRPr="001832FF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</w:p>
    <w:p w:rsidR="0026403E" w:rsidRPr="001832FF" w:rsidRDefault="00355EC6" w:rsidP="001832F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1832FF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1832FF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6403E" w:rsidRDefault="00355EC6">
      <w:pPr>
        <w:rPr>
          <w:rFonts w:hAnsi="Times New Roman" w:cs="Times New Roman"/>
          <w:color w:val="000000"/>
          <w:sz w:val="24"/>
          <w:szCs w:val="24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403E" w:rsidRPr="001832FF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1832FF" w:rsidRPr="001832FF" w:rsidRDefault="001832F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 – 1;</w:t>
      </w:r>
    </w:p>
    <w:p w:rsidR="001832FF" w:rsidRDefault="001832F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 – 1;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403E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403E" w:rsidRPr="001832FF" w:rsidRDefault="00355EC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832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1832FF" w:rsidRDefault="001832FF" w:rsidP="001832F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832FF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, 11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помещений, коридоров 1 и 2 этажей,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медкабинетов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физкультурных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В Структурном подразделении</w:t>
      </w:r>
      <w:r w:rsidR="00835F90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« Солнышко» МБДОУ детский сад № 2 с. </w:t>
      </w:r>
      <w:proofErr w:type="spellStart"/>
      <w:r w:rsidR="00C15B3E">
        <w:rPr>
          <w:rFonts w:hAnsi="Times New Roman" w:cs="Times New Roman"/>
          <w:color w:val="000000"/>
          <w:sz w:val="24"/>
          <w:szCs w:val="24"/>
          <w:lang w:val="ru-RU"/>
        </w:rPr>
        <w:t>Лопатино</w:t>
      </w:r>
      <w:proofErr w:type="spellEnd"/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 прошел капитальный ремонт.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832FF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01.09.2017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 участвовали в конкурсах и мероприятиях различного уровня.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12.10.2021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C15B3E">
        <w:rPr>
          <w:rFonts w:hAnsi="Times New Roman" w:cs="Times New Roman"/>
          <w:color w:val="000000"/>
          <w:sz w:val="24"/>
          <w:szCs w:val="24"/>
          <w:lang w:val="ru-RU"/>
        </w:rPr>
        <w:t xml:space="preserve"> 19.10.2021 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проводилось анкетирование 89 родителей, получены следующие результаты:</w:t>
      </w:r>
    </w:p>
    <w:p w:rsidR="0026403E" w:rsidRPr="00355EC6" w:rsidRDefault="00355E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26403E" w:rsidRPr="00355EC6" w:rsidRDefault="00355E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организации, –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26403E" w:rsidRPr="00355EC6" w:rsidRDefault="00355E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26403E" w:rsidRPr="00355EC6" w:rsidRDefault="00355EC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26403E" w:rsidRPr="00355EC6" w:rsidRDefault="00355EC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6403E" w:rsidRPr="00355EC6" w:rsidRDefault="0035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835F90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544"/>
        <w:gridCol w:w="1634"/>
      </w:tblGrid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640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26403E" w:rsidRDefault="00355E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580FAF" w:rsidRDefault="00835F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 w:rsidP="00580FAF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режиме </w:t>
            </w:r>
            <w:r w:rsidR="00580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сокращенного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  <w:r w:rsidR="00580F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580FAF" w:rsidRDefault="00835F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580FAF" w:rsidRDefault="00580F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355E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35F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5F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proofErr w:type="gramStart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355EC6">
              <w:rPr>
                <w:lang w:val="ru-RU"/>
              </w:rPr>
              <w:br/>
            </w:r>
            <w:proofErr w:type="spellStart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F73C5A" w:rsidRDefault="00F73C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5F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23,8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5F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F73C5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90,5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 w:rsidP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(72%)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F73C5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835F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55EC6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2660" w:rsidRDefault="00632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2660" w:rsidRDefault="00632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355EC6">
              <w:rPr>
                <w:lang w:val="ru-RU"/>
              </w:rPr>
              <w:br/>
            </w: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2660" w:rsidRDefault="00632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632660" w:rsidRDefault="006326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434,1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403E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музыкального 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403E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355EC6">
            <w:pPr>
              <w:rPr>
                <w:lang w:val="ru-RU"/>
              </w:rPr>
            </w:pPr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355E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Pr="00355EC6" w:rsidRDefault="002640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03E" w:rsidRDefault="00355EC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403E" w:rsidRPr="00355EC6" w:rsidRDefault="0035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EC6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26403E" w:rsidRPr="00355EC6" w:rsidSect="002640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F7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E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24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A68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66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13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82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B7C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A1F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665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A4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C0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07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20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12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02AB"/>
    <w:rsid w:val="001071B0"/>
    <w:rsid w:val="001832FF"/>
    <w:rsid w:val="002549AD"/>
    <w:rsid w:val="0026403E"/>
    <w:rsid w:val="002C5FE2"/>
    <w:rsid w:val="002D33B1"/>
    <w:rsid w:val="002D3591"/>
    <w:rsid w:val="003514A0"/>
    <w:rsid w:val="00355EC6"/>
    <w:rsid w:val="00361A8C"/>
    <w:rsid w:val="004F7E17"/>
    <w:rsid w:val="00580FAF"/>
    <w:rsid w:val="005A05CE"/>
    <w:rsid w:val="00610938"/>
    <w:rsid w:val="00632660"/>
    <w:rsid w:val="00634687"/>
    <w:rsid w:val="00653AF6"/>
    <w:rsid w:val="00680DB9"/>
    <w:rsid w:val="007B4F3A"/>
    <w:rsid w:val="0083377C"/>
    <w:rsid w:val="00835F90"/>
    <w:rsid w:val="00B73A5A"/>
    <w:rsid w:val="00C15B3E"/>
    <w:rsid w:val="00C504FA"/>
    <w:rsid w:val="00D64B4C"/>
    <w:rsid w:val="00D96EAE"/>
    <w:rsid w:val="00E438A1"/>
    <w:rsid w:val="00F01E19"/>
    <w:rsid w:val="00F7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rsid w:val="00355EC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1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4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ntish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dou2lop58.edu-pen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дом</cp:lastModifiedBy>
  <cp:revision>9</cp:revision>
  <cp:lastPrinted>2021-05-21T14:05:00Z</cp:lastPrinted>
  <dcterms:created xsi:type="dcterms:W3CDTF">2011-11-02T04:15:00Z</dcterms:created>
  <dcterms:modified xsi:type="dcterms:W3CDTF">2022-04-18T08:57:00Z</dcterms:modified>
</cp:coreProperties>
</file>